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(Solo per il Programma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7E5B2E">
        <w:tblPrEx>
          <w:tblCellMar>
            <w:left w:w="108" w:type="dxa"/>
            <w:right w:w="108" w:type="dxa"/>
          </w:tblCellMar>
        </w:tblPrEx>
        <w:trPr>
          <w:trHeight w:hRule="exact" w:val="450"/>
        </w:trPr>
        <w:tc>
          <w:tcPr>
            <w:tcW w:w="10368" w:type="dxa"/>
            <w:shd w:val="clear" w:color="auto" w:fill="000080"/>
          </w:tcPr>
          <w:p w:rsidR="00090FA2" w:rsidRPr="004C6708" w:rsidRDefault="00090FA2" w:rsidP="007E5B2E">
            <w:pPr>
              <w:pStyle w:val="Heading1"/>
              <w:numPr>
                <w:ilvl w:val="0"/>
                <w:numId w:val="0"/>
              </w:numPr>
              <w:spacing w:before="60" w:after="0"/>
              <w:rPr>
                <w:bCs w:val="0"/>
                <w:sz w:val="24"/>
                <w:szCs w:val="24"/>
                <w:vertAlign w:val="superscript"/>
              </w:rPr>
            </w:pPr>
            <w:r>
              <w:rPr>
                <w:sz w:val="24"/>
                <w:szCs w:val="24"/>
              </w:rPr>
              <w:t>Microsoft Visual Studio</w:t>
            </w:r>
            <w:r w:rsidR="006E1F99">
              <w:rPr>
                <w:rStyle w:val="FootnoteReference"/>
                <w:sz w:val="24"/>
                <w:szCs w:val="24"/>
              </w:rPr>
              <w:footnoteReference w:id="2"/>
            </w:r>
            <w:r>
              <w:rPr>
                <w:sz w:val="24"/>
                <w:szCs w:val="24"/>
              </w:rPr>
              <w:t xml:space="preserve"> Team Foundation Server 2017 </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7E5B2E" w:rsidRDefault="00090FA2" w:rsidP="00AE1920">
            <w:pPr>
              <w:rPr>
                <w:rFonts w:eastAsia="SimSun"/>
                <w:b/>
                <w:bCs/>
                <w:sz w:val="24"/>
                <w:szCs w:val="24"/>
                <w:lang w:val="en-US" w:eastAsia="en-US" w:bidi="ar-SA"/>
              </w:rPr>
            </w:pPr>
          </w:p>
          <w:p w:rsidR="00090FA2" w:rsidRPr="00C11500" w:rsidRDefault="00090FA2" w:rsidP="006D0CF2">
            <w:pPr>
              <w:pStyle w:val="LicenseNumber"/>
              <w:rPr>
                <w:sz w:val="24"/>
                <w:szCs w:val="24"/>
              </w:rPr>
            </w:pPr>
            <w:r w:rsidRPr="00C11500">
              <w:rPr>
                <w:rFonts w:cs="Tahoma"/>
                <w:sz w:val="24"/>
                <w:szCs w:val="24"/>
              </w:rPr>
              <w:t xml:space="preserve">Licenze Server: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bookmarkStart w:id="0" w:name="_GoBack"/>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bookmarkEnd w:id="0"/>
            <w:r w:rsidRPr="00C11500">
              <w:rPr>
                <w:sz w:val="24"/>
                <w:szCs w:val="24"/>
              </w:rPr>
              <w:fldChar w:fldCharType="end"/>
            </w:r>
            <w:r w:rsidR="000B6190" w:rsidRPr="00C11500">
              <w:rPr>
                <w:rStyle w:val="FootnoteReference"/>
                <w:sz w:val="24"/>
                <w:szCs w:val="24"/>
              </w:rPr>
              <w:footnoteReference w:id="3"/>
            </w:r>
            <w:r w:rsidRPr="00C11500">
              <w:rPr>
                <w:rFonts w:cs="Tahoma"/>
                <w:sz w:val="24"/>
                <w:szCs w:val="24"/>
                <w:u w:val="single"/>
              </w:rPr>
              <w:t xml:space="preserve"> </w:t>
            </w:r>
          </w:p>
          <w:p w:rsidR="00090FA2" w:rsidRPr="00C11500" w:rsidRDefault="00090FA2" w:rsidP="006D0CF2">
            <w:pPr>
              <w:pStyle w:val="LicenseNumber"/>
              <w:spacing w:before="120" w:after="120"/>
              <w:rPr>
                <w:sz w:val="24"/>
                <w:szCs w:val="24"/>
              </w:rPr>
            </w:pPr>
            <w:r w:rsidRPr="00C11500">
              <w:rPr>
                <w:rFonts w:cs="Tahoma"/>
                <w:sz w:val="24"/>
                <w:szCs w:val="24"/>
              </w:rPr>
              <w:t>User CAL (Licenza di accesso da parte dell’utente):</w:t>
            </w:r>
            <w:r w:rsidRPr="00C11500">
              <w:rPr>
                <w:rFonts w:cs="Tahoma"/>
                <w:bCs w:val="0"/>
                <w:sz w:val="24"/>
                <w:szCs w:val="24"/>
              </w:rPr>
              <w:t xml:space="preserve">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ED1F19" w:rsidRPr="00C11500">
              <w:rPr>
                <w:rStyle w:val="FootnoteReference"/>
                <w:sz w:val="24"/>
                <w:szCs w:val="24"/>
              </w:rPr>
              <w:footnoteReference w:id="4"/>
            </w:r>
            <w:r w:rsidRPr="00C11500">
              <w:rPr>
                <w:rFonts w:cs="Tahoma"/>
                <w:sz w:val="24"/>
                <w:szCs w:val="24"/>
                <w:u w:val="single"/>
              </w:rPr>
              <w:t xml:space="preserve"> </w:t>
            </w:r>
          </w:p>
          <w:p w:rsidR="00090FA2" w:rsidRPr="00C11500" w:rsidRDefault="00090FA2" w:rsidP="007876CA">
            <w:pPr>
              <w:pStyle w:val="LicenseNumber"/>
              <w:spacing w:before="120" w:after="120"/>
              <w:rPr>
                <w:sz w:val="24"/>
                <w:szCs w:val="24"/>
              </w:rPr>
            </w:pPr>
            <w:r w:rsidRPr="00C11500">
              <w:rPr>
                <w:rFonts w:cs="Tahoma"/>
                <w:sz w:val="24"/>
                <w:szCs w:val="24"/>
              </w:rPr>
              <w:t xml:space="preserve">Licenza CAL per dispositivo: </w:t>
            </w:r>
            <w:r w:rsidRPr="00C11500">
              <w:rPr>
                <w:rFonts w:cs="Tahoma"/>
                <w:sz w:val="24"/>
                <w:szCs w:val="24"/>
                <w:u w:val="single"/>
              </w:rPr>
              <w:fldChar w:fldCharType="begin">
                <w:ffData>
                  <w:name w:val=""/>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6D0CF2" w:rsidRPr="00C11500">
              <w:rPr>
                <w:rStyle w:val="FootnoteReference"/>
                <w:sz w:val="24"/>
                <w:szCs w:val="24"/>
              </w:rPr>
              <w:footnoteReference w:id="5"/>
            </w:r>
            <w:r w:rsidRPr="00C11500">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494841">
        <w:trPr>
          <w:trHeight w:hRule="exact" w:val="441"/>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CONTRATTO DI LICENZA CON L’UTENTE FINALE</w:t>
            </w:r>
          </w:p>
          <w:p w:rsidR="00090FA2" w:rsidRPr="00EF1825" w:rsidRDefault="00090FA2" w:rsidP="00AE1920"/>
          <w:p w:rsidR="00090FA2" w:rsidRPr="004C6708" w:rsidRDefault="00090FA2" w:rsidP="00AE1920">
            <w:pPr>
              <w:rPr>
                <w:b/>
              </w:rPr>
            </w:pPr>
          </w:p>
        </w:tc>
      </w:tr>
    </w:tbl>
    <w:p w:rsidR="00AD2919" w:rsidRPr="00EF1825" w:rsidRDefault="003C2DE9" w:rsidP="00AD2919">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Il licenziatario deve leggerle con attenzione. </w:t>
      </w:r>
      <w:r>
        <w:rPr>
          <w:rFonts w:eastAsia="SimSun"/>
          <w:sz w:val="20"/>
          <w:szCs w:val="20"/>
        </w:rPr>
        <w:t>Microsoft Corporation o una delle sue consociate (collettivamente “Microsoft”) ha concesso in licenza il software al Licenziante.</w:t>
      </w:r>
    </w:p>
    <w:p w:rsidR="00AD2919" w:rsidRPr="00EF1825" w:rsidRDefault="004B6D26" w:rsidP="009A7BD7">
      <w:r>
        <w:rPr>
          <w:sz w:val="20"/>
          <w:szCs w:val="20"/>
        </w:rPr>
        <w:t xml:space="preserve">Le presenti condizioni si applicano al software indicato sopra e prevalgono su qualsiasi condizione elettronica eventualmente contenuta nel software. Nel caso di discrepanza tra una qualsiasi delle condizioni contenute nel software e le presenti condizioni, prevarranno le presenti condizioni. Le condizioni si applicano anche a qualsiasi servizio e aggiornamento Microsoft relativo al software, a meno che questi non siano accompagnati da condizioni specifiche. </w:t>
      </w:r>
    </w:p>
    <w:p w:rsidR="00AA45AF" w:rsidRPr="00EF1825" w:rsidRDefault="00AD2919" w:rsidP="00671D4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3C2DE9" w:rsidRPr="00EF1825" w:rsidRDefault="005F7C07" w:rsidP="004C6708">
      <w:pPr>
        <w:pStyle w:val="Heading1"/>
        <w:numPr>
          <w:ilvl w:val="0"/>
          <w:numId w:val="28"/>
        </w:numPr>
        <w:pBdr>
          <w:top w:val="single" w:sz="4" w:space="1" w:color="auto"/>
        </w:pBdr>
      </w:pPr>
      <w:r>
        <w:rPr>
          <w:sz w:val="20"/>
          <w:szCs w:val="20"/>
        </w:rPr>
        <w:t>PREMESSE.</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Il software include</w:t>
      </w:r>
    </w:p>
    <w:p w:rsidR="003C2DE9" w:rsidRPr="00EF1825" w:rsidRDefault="005F7C07" w:rsidP="00CC50E7">
      <w:pPr>
        <w:pStyle w:val="Bullet3"/>
        <w:ind w:left="1080" w:hanging="360"/>
      </w:pPr>
      <w:r>
        <w:rPr>
          <w:sz w:val="20"/>
          <w:szCs w:val="20"/>
        </w:rPr>
        <w:t>software server e</w:t>
      </w:r>
    </w:p>
    <w:p w:rsidR="003C2DE9" w:rsidRPr="00EF1825" w:rsidRDefault="005F7C07" w:rsidP="00CC50E7">
      <w:pPr>
        <w:pStyle w:val="Bullet3"/>
        <w:ind w:left="1080" w:hanging="360"/>
      </w:pPr>
      <w:r>
        <w:rPr>
          <w:sz w:val="20"/>
          <w:szCs w:val="20"/>
        </w:rPr>
        <w:t>software aggiuntivo che potrà essere utilizzato solo con il software server.</w:t>
      </w:r>
    </w:p>
    <w:p w:rsidR="003C2DE9" w:rsidRPr="00EF1825" w:rsidRDefault="005F7C07" w:rsidP="004B34DD">
      <w:pPr>
        <w:pStyle w:val="Heading2"/>
        <w:tabs>
          <w:tab w:val="clear" w:pos="993"/>
        </w:tabs>
        <w:ind w:left="720" w:hanging="360"/>
      </w:pPr>
      <w:r>
        <w:rPr>
          <w:sz w:val="20"/>
          <w:szCs w:val="20"/>
        </w:rPr>
        <w:t xml:space="preserve">Modello di Licenza. </w:t>
      </w:r>
      <w:r>
        <w:rPr>
          <w:b w:val="0"/>
          <w:sz w:val="20"/>
          <w:szCs w:val="20"/>
        </w:rPr>
        <w:t>Il software viene concesso in licenza sulla base delle seguenti condizioni:</w:t>
      </w:r>
    </w:p>
    <w:p w:rsidR="00E346DC" w:rsidRPr="00EF1825" w:rsidRDefault="005F7C07" w:rsidP="00CC50E7">
      <w:pPr>
        <w:pStyle w:val="Bullet3"/>
        <w:ind w:left="1080" w:hanging="360"/>
      </w:pPr>
      <w:r>
        <w:rPr>
          <w:sz w:val="20"/>
          <w:szCs w:val="20"/>
        </w:rPr>
        <w:t xml:space="preserve">il numero di istanze del software server eseguite dal licenziatario e </w:t>
      </w:r>
    </w:p>
    <w:p w:rsidR="006A4C79" w:rsidRPr="00EF1825" w:rsidRDefault="005F7C07" w:rsidP="00CC50E7">
      <w:pPr>
        <w:pStyle w:val="Bullet3"/>
        <w:ind w:left="1080" w:hanging="360"/>
      </w:pPr>
      <w:r>
        <w:rPr>
          <w:sz w:val="20"/>
          <w:szCs w:val="20"/>
        </w:rPr>
        <w:t>il numero di dispositivi e di utenti che accedono a istanze del software server.</w:t>
      </w:r>
    </w:p>
    <w:p w:rsidR="00B67FDB" w:rsidRPr="00EF1825" w:rsidRDefault="005F7C07" w:rsidP="00CC50E7">
      <w:pPr>
        <w:pStyle w:val="Heading2"/>
        <w:tabs>
          <w:tab w:val="clear" w:pos="993"/>
          <w:tab w:val="num" w:pos="720"/>
        </w:tabs>
        <w:ind w:left="720" w:hanging="360"/>
      </w:pPr>
      <w:r>
        <w:rPr>
          <w:sz w:val="20"/>
          <w:szCs w:val="20"/>
        </w:rPr>
        <w:t>Condizioni di Licenza da Utilizzare con Virtual Server e Altre Tecnologie Simili.</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Istanza</w:t>
      </w:r>
      <w:r>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Esecuzione di un’Istanza</w:t>
      </w:r>
      <w:r>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del Sistema Operativo (“OSE”)</w:t>
      </w:r>
      <w:r>
        <w:rPr>
          <w:bCs w:val="0"/>
          <w:sz w:val="20"/>
          <w:szCs w:val="20"/>
        </w:rPr>
        <w:t>.</w:t>
      </w:r>
      <w:r>
        <w:rPr>
          <w:b w:val="0"/>
          <w:bCs w:val="0"/>
          <w:sz w:val="20"/>
          <w:szCs w:val="20"/>
        </w:rPr>
        <w:t xml:space="preserve"> Un OSE </w:t>
      </w:r>
    </w:p>
    <w:p w:rsidR="00B67FDB" w:rsidRPr="00EF1825" w:rsidRDefault="00266528" w:rsidP="00CC50E7">
      <w:pPr>
        <w:pStyle w:val="Bullet4"/>
        <w:tabs>
          <w:tab w:val="clear" w:pos="1437"/>
          <w:tab w:val="num" w:pos="1440"/>
        </w:tabs>
        <w:ind w:left="1440" w:hanging="360"/>
      </w:pPr>
      <w:r>
        <w:rPr>
          <w:sz w:val="20"/>
          <w:szCs w:val="20"/>
        </w:rPr>
        <w:lastRenderedPageBreak/>
        <w:t>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w:t>
      </w:r>
    </w:p>
    <w:p w:rsidR="00B67FDB" w:rsidRPr="00EF1825" w:rsidRDefault="00266528" w:rsidP="00CC50E7">
      <w:pPr>
        <w:pStyle w:val="Bullet4"/>
        <w:tabs>
          <w:tab w:val="clear" w:pos="1437"/>
          <w:tab w:val="num" w:pos="1440"/>
        </w:tabs>
        <w:ind w:left="1440" w:hanging="360"/>
      </w:pPr>
      <w:r>
        <w:rPr>
          <w:sz w:val="20"/>
          <w:szCs w:val="20"/>
        </w:rPr>
        <w:t>istanze di eventuali applicazioni, configurate per essere eseguite sulle istanze complete o parziali del sistema operativo identificate sopra.</w:t>
      </w:r>
    </w:p>
    <w:p w:rsidR="00A30398" w:rsidRPr="00EF1825" w:rsidRDefault="005F7C07" w:rsidP="00CC50E7">
      <w:pPr>
        <w:pStyle w:val="Body3"/>
        <w:tabs>
          <w:tab w:val="num" w:pos="1440"/>
        </w:tabs>
        <w:ind w:left="1440" w:hanging="360"/>
      </w:pPr>
      <w:r>
        <w:rPr>
          <w:sz w:val="20"/>
          <w:szCs w:val="20"/>
        </w:rPr>
        <w:t>Esistono due tipi di OSE, fisico e virtuale.</w:t>
      </w:r>
    </w:p>
    <w:p w:rsidR="00B776DC" w:rsidRPr="00EF1825" w:rsidRDefault="005F7C07" w:rsidP="008874DA">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tecnologie di virtualizzazione Microsoft), è considerata parte dell’OSE fisico.</w:t>
      </w:r>
    </w:p>
    <w:p w:rsidR="00B776DC" w:rsidRPr="00EF1825" w:rsidRDefault="005F7C07" w:rsidP="008874DA">
      <w:pPr>
        <w:pStyle w:val="Body3"/>
        <w:tabs>
          <w:tab w:val="num" w:pos="1440"/>
        </w:tabs>
        <w:ind w:left="1080"/>
      </w:pPr>
      <w:r>
        <w:rPr>
          <w:sz w:val="20"/>
          <w:szCs w:val="20"/>
        </w:rPr>
        <w:t>Un “</w:t>
      </w:r>
      <w:r>
        <w:rPr>
          <w:iCs/>
          <w:sz w:val="20"/>
          <w:szCs w:val="20"/>
        </w:rPr>
        <w:t xml:space="preserve">OSE virtuale” </w:t>
      </w:r>
      <w:r>
        <w:rPr>
          <w:sz w:val="20"/>
          <w:szCs w:val="20"/>
        </w:rPr>
        <w:t>è configurato per l’esecuzione in un sistema hardware virtuale.</w:t>
      </w:r>
    </w:p>
    <w:p w:rsidR="00B67FDB" w:rsidRPr="00EF1825" w:rsidRDefault="005F7C07" w:rsidP="00CC50E7">
      <w:pPr>
        <w:pStyle w:val="Body3"/>
        <w:tabs>
          <w:tab w:val="num" w:pos="1440"/>
        </w:tabs>
        <w:ind w:left="1440" w:hanging="360"/>
      </w:pPr>
      <w:r>
        <w:rPr>
          <w:sz w:val="20"/>
          <w:szCs w:val="20"/>
        </w:rPr>
        <w:t>Un sistema hardware fisico può avere uno o entrambi i seguenti elementi:</w:t>
      </w:r>
    </w:p>
    <w:p w:rsidR="00B67FDB" w:rsidRPr="00EF1825" w:rsidRDefault="005F7C07" w:rsidP="00CC50E7">
      <w:pPr>
        <w:pStyle w:val="Bullet4"/>
        <w:tabs>
          <w:tab w:val="clear" w:pos="1437"/>
          <w:tab w:val="num" w:pos="1440"/>
        </w:tabs>
        <w:ind w:left="1440" w:hanging="360"/>
      </w:pPr>
      <w:r>
        <w:rPr>
          <w:sz w:val="20"/>
          <w:szCs w:val="20"/>
        </w:rPr>
        <w:t>un ambiente fisico del sistema operativo e</w:t>
      </w:r>
    </w:p>
    <w:p w:rsidR="00B67FDB" w:rsidRPr="00EF1825" w:rsidRDefault="005F7C07" w:rsidP="00CC50E7">
      <w:pPr>
        <w:pStyle w:val="Bullet4"/>
        <w:tabs>
          <w:tab w:val="clear" w:pos="1437"/>
          <w:tab w:val="num" w:pos="1440"/>
        </w:tabs>
        <w:ind w:left="1440" w:hanging="360"/>
      </w:pPr>
      <w:r>
        <w:rPr>
          <w:sz w:val="20"/>
          <w:szCs w:val="20"/>
        </w:rPr>
        <w:t>uno o più ambienti virtuali del sistema operativo.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Una partizione hardware o un blade è considerato un sistema hardware fisico separato.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EF1825" w:rsidRDefault="005F7C07" w:rsidP="004C6708">
      <w:pPr>
        <w:pStyle w:val="Heading1"/>
        <w:ind w:left="360" w:hanging="360"/>
      </w:pPr>
      <w:r>
        <w:rPr>
          <w:sz w:val="20"/>
          <w:szCs w:val="20"/>
        </w:rPr>
        <w:t>DIRITTI DI UTILIZZO.</w:t>
      </w:r>
    </w:p>
    <w:p w:rsidR="003C2DE9" w:rsidRPr="00EF1825" w:rsidRDefault="000D3B46" w:rsidP="00CC50E7">
      <w:pPr>
        <w:pStyle w:val="Heading2"/>
        <w:tabs>
          <w:tab w:val="clear" w:pos="993"/>
          <w:tab w:val="num" w:pos="720"/>
        </w:tabs>
        <w:ind w:left="720" w:hanging="360"/>
      </w:pPr>
      <w:r>
        <w:rPr>
          <w:sz w:val="20"/>
          <w:szCs w:val="20"/>
        </w:rPr>
        <w:t>Server con Licenza.</w:t>
      </w:r>
    </w:p>
    <w:p w:rsidR="0014406D" w:rsidRPr="00EF1825" w:rsidRDefault="000D3B46" w:rsidP="00CC50E7">
      <w:pPr>
        <w:pStyle w:val="Heading3"/>
        <w:tabs>
          <w:tab w:val="num" w:pos="1077"/>
        </w:tabs>
      </w:pPr>
      <w:r>
        <w:rPr>
          <w:sz w:val="20"/>
          <w:szCs w:val="20"/>
        </w:rPr>
        <w:t>Server con licenza indica il singolo server al quale è stata ceduta una licenza.</w:t>
      </w:r>
    </w:p>
    <w:p w:rsidR="003C2DE9" w:rsidRPr="00EF1825" w:rsidRDefault="005F7C07" w:rsidP="00CC50E7">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EF1825" w:rsidRDefault="005F7C07" w:rsidP="00CC50E7">
      <w:pPr>
        <w:pStyle w:val="Heading2"/>
        <w:tabs>
          <w:tab w:val="clear" w:pos="993"/>
          <w:tab w:val="num" w:pos="720"/>
        </w:tabs>
        <w:ind w:left="720" w:hanging="360"/>
      </w:pPr>
      <w:r>
        <w:rPr>
          <w:sz w:val="20"/>
          <w:szCs w:val="20"/>
        </w:rPr>
        <w:t xml:space="preserve">Esecuzione di Istanze del Software Server. </w:t>
      </w:r>
      <w:r>
        <w:rPr>
          <w:b w:val="0"/>
          <w:bCs w:val="0"/>
          <w:sz w:val="20"/>
          <w:szCs w:val="20"/>
        </w:rPr>
        <w:t>Per ogni licenza server, il licenziatario potrà utilizzare in qualsiasi momento, un’istanza del software server sul server con licenza in un ambiente del sistema operativo fisico o virtuale sul server con licenza.</w:t>
      </w:r>
    </w:p>
    <w:p w:rsidR="00EE6F16" w:rsidRPr="00EF1825" w:rsidRDefault="005F7C07" w:rsidP="00CC50E7">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5912D8" w:rsidRPr="00EF1825" w:rsidRDefault="009F27AF" w:rsidP="00356513">
      <w:pPr>
        <w:pStyle w:val="Bullet3"/>
        <w:numPr>
          <w:ilvl w:val="0"/>
          <w:numId w:val="23"/>
        </w:numPr>
      </w:pPr>
      <w:r>
        <w:rPr>
          <w:sz w:val="20"/>
          <w:szCs w:val="20"/>
        </w:rPr>
        <w:t>Servizi di Generazione per Visual Studio Team Foundation</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EF1825" w:rsidRDefault="005F7C07" w:rsidP="00057836">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5</w:t>
      </w:r>
      <w:r>
        <w:rPr>
          <w:b w:val="0"/>
          <w:bCs w:val="0"/>
          <w:sz w:val="20"/>
          <w:szCs w:val="20"/>
        </w:rPr>
        <w:t>, che sono disciplinate da condizioni di licenza specifiche.</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indicato nel file o nei file ThirdPartyNotices relativi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w:t>
      </w:r>
    </w:p>
    <w:p w:rsidR="00D40637" w:rsidRPr="001C64CF" w:rsidRDefault="00D40637" w:rsidP="002061BD">
      <w:pPr>
        <w:pStyle w:val="Bullet3"/>
        <w:numPr>
          <w:ilvl w:val="0"/>
          <w:numId w:val="0"/>
        </w:numPr>
        <w:ind w:left="720"/>
        <w:rPr>
          <w:sz w:val="20"/>
          <w:szCs w:val="20"/>
        </w:rPr>
      </w:pPr>
      <w:r w:rsidRPr="001C64CF">
        <w:rPr>
          <w:sz w:val="20"/>
          <w:szCs w:val="20"/>
        </w:rPr>
        <w:lastRenderedPageBreak/>
        <w:t xml:space="preserve">Il software potrà includere componenti concessi in licenza ai sensi di licenze open source che devono rendere disponibile il codice sorgente. Copie di tali licenze, se applicabili, sono incluse nel file o nei file ThirdPartyNotices. Il licenziatario potrà eventualmente richiedere il codice sorgente a Microsoft, ai sensi delle specifiche licenze open source, inviando un vaglia o un assegno dell’importo di 5,00 dollari a: Source Code Compliance Team, Microsoft Corporation, 1 Microsoft Way, Redmond, WA 98052. Il licenziatario dovrà scrivere “open source compliance for Microsoft Visual Studio Team Foundation Server 2017” (“conformità open source per Microsoft Visual Studio Team Foundation Server 2017”) nella riga nota del pagamento. Microsoft potrà anche effettuare una copia del codice sorgente disponibile all’indirizzo </w:t>
      </w:r>
      <w:hyperlink r:id="rId11" w:history="1">
        <w:r w:rsidRPr="001C64CF">
          <w:rPr>
            <w:rStyle w:val="Hyperlink"/>
            <w:rFonts w:cs="Tahoma"/>
            <w:sz w:val="20"/>
            <w:szCs w:val="20"/>
          </w:rPr>
          <w:t>https://thirdpartysource.microsoft.com</w:t>
        </w:r>
      </w:hyperlink>
      <w:r w:rsidRPr="001C64CF">
        <w:rPr>
          <w:sz w:val="20"/>
          <w:szCs w:val="20"/>
        </w:rPr>
        <w:t>.</w:t>
      </w:r>
    </w:p>
    <w:p w:rsidR="003C2DE9" w:rsidRPr="00EF1825" w:rsidRDefault="005F7C07" w:rsidP="004C6708">
      <w:pPr>
        <w:pStyle w:val="Heading1"/>
        <w:ind w:left="360" w:hanging="360"/>
      </w:pPr>
      <w:r>
        <w:rPr>
          <w:sz w:val="20"/>
          <w:szCs w:val="20"/>
        </w:rPr>
        <w:t>REQUISITI AGGIUNTIVI PER LE LICENZE E/O DIRITTI DI UTILIZZO.</w:t>
      </w:r>
    </w:p>
    <w:p w:rsidR="003C2DE9" w:rsidRPr="00EF1825" w:rsidRDefault="005F7C07" w:rsidP="004C6708">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EF1825" w:rsidRDefault="007C46AC" w:rsidP="00057836">
      <w:pPr>
        <w:pStyle w:val="Bullet4"/>
        <w:tabs>
          <w:tab w:val="clear" w:pos="1437"/>
          <w:tab w:val="num" w:pos="1080"/>
        </w:tabs>
        <w:ind w:left="1080" w:hanging="360"/>
      </w:pPr>
      <w:r>
        <w:rPr>
          <w:sz w:val="20"/>
          <w:szCs w:val="20"/>
        </w:rPr>
        <w:t>consentire l’accesso a un altro Server con Licenza né</w:t>
      </w:r>
    </w:p>
    <w:p w:rsidR="00BA4FCD" w:rsidRPr="00EF1825" w:rsidRDefault="005F7C07" w:rsidP="00057836">
      <w:pPr>
        <w:pStyle w:val="Bullet4"/>
        <w:tabs>
          <w:tab w:val="clear" w:pos="1437"/>
          <w:tab w:val="num" w:pos="1080"/>
        </w:tabs>
        <w:ind w:left="1080" w:hanging="360"/>
      </w:pPr>
      <w:r>
        <w:rPr>
          <w:sz w:val="20"/>
          <w:szCs w:val="20"/>
        </w:rPr>
        <w:t>per consentire la gestione del software a un massimo di due dispositivi o utenti.</w:t>
      </w:r>
    </w:p>
    <w:p w:rsidR="008B728C" w:rsidRPr="00EF1825" w:rsidRDefault="005F7C07" w:rsidP="00057836">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EF1825" w:rsidRDefault="00BB4843" w:rsidP="00057836">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D40637" w:rsidRPr="00EF1825" w:rsidRDefault="00D40637" w:rsidP="00654356">
      <w:pPr>
        <w:pStyle w:val="Heading2"/>
        <w:tabs>
          <w:tab w:val="clear" w:pos="993"/>
          <w:tab w:val="num" w:pos="720"/>
        </w:tabs>
        <w:ind w:left="720" w:hanging="360"/>
      </w:pPr>
      <w:r>
        <w:rPr>
          <w:sz w:val="20"/>
          <w:szCs w:val="20"/>
        </w:rPr>
        <w:t xml:space="preserve">Utenti Iniziali. </w:t>
      </w:r>
      <w:r>
        <w:rPr>
          <w:b w:val="0"/>
          <w:sz w:val="20"/>
          <w:szCs w:val="20"/>
        </w:rPr>
        <w:t>Fino a cinque utenti potranno connettersi a un’istanza del software server senza che sia necessaria una CAL. Il sesto e gli altri utenti aggiuntivi dovranno disporre ciascuno di una CAL per accedere al software server.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Una user CAL (Licenza di accesso da parte dell’utente) viene concessa a ciascun sottoscrittore che acquista una sottoscrizione di Visual Studio Team Services per la durata di tale sottoscrizione a pagamento.</w:t>
      </w:r>
    </w:p>
    <w:p w:rsidR="0093564D" w:rsidRPr="00EF1825" w:rsidRDefault="0002605D" w:rsidP="00654356">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EF1825" w:rsidRDefault="00317891" w:rsidP="005436C2">
      <w:pPr>
        <w:pStyle w:val="Bullet4"/>
        <w:tabs>
          <w:tab w:val="clear" w:pos="1437"/>
          <w:tab w:val="num" w:pos="1080"/>
        </w:tabs>
        <w:ind w:left="1080" w:hanging="360"/>
      </w:pPr>
      <w:r>
        <w:rPr>
          <w:sz w:val="20"/>
          <w:szCs w:val="20"/>
        </w:rPr>
        <w:t>per visualizzare, modificare o inserire elementi di lavoro;</w:t>
      </w:r>
    </w:p>
    <w:p w:rsidR="00317891" w:rsidRPr="00EF1825" w:rsidRDefault="00317891" w:rsidP="005436C2">
      <w:pPr>
        <w:pStyle w:val="Bullet4"/>
        <w:tabs>
          <w:tab w:val="clear" w:pos="1437"/>
          <w:tab w:val="num" w:pos="1080"/>
        </w:tabs>
        <w:ind w:left="1080" w:hanging="360"/>
      </w:pPr>
      <w:r>
        <w:rPr>
          <w:sz w:val="20"/>
          <w:szCs w:val="20"/>
        </w:rPr>
        <w:t>per accedere a Team Foundation Server Reporting;</w:t>
      </w:r>
    </w:p>
    <w:p w:rsidR="0093564D" w:rsidRPr="00EF1825" w:rsidRDefault="0093564D" w:rsidP="005436C2">
      <w:pPr>
        <w:pStyle w:val="Bullet4"/>
        <w:tabs>
          <w:tab w:val="clear" w:pos="1437"/>
          <w:tab w:val="num" w:pos="1080"/>
        </w:tabs>
        <w:ind w:left="1080" w:hanging="360"/>
      </w:pPr>
      <w:r>
        <w:rPr>
          <w:sz w:val="20"/>
          <w:szCs w:val="20"/>
        </w:rPr>
        <w:t>per accedere a Visual Studio Team Services tramite un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per approvare le varie fasi nell’ambito della pipeline Release Management; </w:t>
      </w:r>
    </w:p>
    <w:p w:rsidR="00317891" w:rsidRPr="00EF1825" w:rsidRDefault="00907F9A" w:rsidP="005436C2">
      <w:pPr>
        <w:pStyle w:val="Bullet4"/>
        <w:tabs>
          <w:tab w:val="clear" w:pos="1437"/>
          <w:tab w:val="num" w:pos="1080"/>
        </w:tabs>
        <w:ind w:left="1080" w:hanging="360"/>
      </w:pPr>
      <w:r>
        <w:rPr>
          <w:sz w:val="20"/>
          <w:szCs w:val="20"/>
        </w:rPr>
        <w:t>per fornire commenti tramite il Feedback Client per il software o</w:t>
      </w:r>
    </w:p>
    <w:p w:rsidR="009B7E14" w:rsidRPr="00EF1825" w:rsidRDefault="009B7E14" w:rsidP="005436C2">
      <w:pPr>
        <w:pStyle w:val="Bullet4"/>
        <w:tabs>
          <w:tab w:val="clear" w:pos="1437"/>
          <w:tab w:val="num" w:pos="1080"/>
        </w:tabs>
        <w:ind w:left="1080" w:hanging="360"/>
      </w:pPr>
      <w:r>
        <w:rPr>
          <w:sz w:val="20"/>
          <w:szCs w:val="20"/>
        </w:rPr>
        <w:t>per accedere a Visual Studio Team Foundation Server tramite una connessione in pool da un’altra applicazione o servizio integrato.</w:t>
      </w:r>
    </w:p>
    <w:p w:rsidR="005774AA" w:rsidRPr="00EF1825" w:rsidRDefault="005774AA" w:rsidP="004C6708">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2017 da parte degli utenti in possesso di licenza e dei dispositivi con licenza ddel software.</w:t>
      </w:r>
    </w:p>
    <w:p w:rsidR="003C2DE9" w:rsidRPr="00EF1825" w:rsidRDefault="005F7C07" w:rsidP="004C6708">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EF1825" w:rsidRDefault="005F7C07" w:rsidP="00057836">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EF1825" w:rsidRDefault="005F7C07" w:rsidP="00057836">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tranne nel caso in cui ciò sia consentito in quanto riassegnazione temporanea.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EF1825" w:rsidRDefault="00A862E3" w:rsidP="006A68F8">
      <w:pPr>
        <w:pStyle w:val="Bullet4"/>
        <w:tabs>
          <w:tab w:val="clear" w:pos="1437"/>
          <w:tab w:val="num" w:pos="1080"/>
        </w:tabs>
        <w:ind w:left="1080" w:hanging="360"/>
      </w:pPr>
      <w:r>
        <w:rPr>
          <w:sz w:val="20"/>
          <w:szCs w:val="20"/>
        </w:rPr>
        <w:t>Gestione Test</w:t>
      </w:r>
    </w:p>
    <w:p w:rsidR="00A22FCC" w:rsidRPr="00EF1825" w:rsidRDefault="00753122" w:rsidP="002F713A">
      <w:pPr>
        <w:pStyle w:val="Heading2"/>
        <w:widowControl w:val="0"/>
        <w:numPr>
          <w:ilvl w:val="0"/>
          <w:numId w:val="0"/>
        </w:numPr>
        <w:ind w:left="1080"/>
      </w:pPr>
      <w:r>
        <w:rPr>
          <w:b w:val="0"/>
          <w:sz w:val="20"/>
          <w:szCs w:val="20"/>
        </w:rPr>
        <w:t>un utente dovrà disporre la licenza per uno dei seguenti prodotti:</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EF1825" w:rsidRDefault="00E078FC" w:rsidP="0019394B">
      <w:pPr>
        <w:pStyle w:val="Heading2"/>
        <w:widowControl w:val="0"/>
        <w:numPr>
          <w:ilvl w:val="0"/>
          <w:numId w:val="26"/>
        </w:numPr>
      </w:pPr>
      <w:r>
        <w:rPr>
          <w:b w:val="0"/>
          <w:sz w:val="20"/>
          <w:szCs w:val="20"/>
        </w:rPr>
        <w:t>Visual Studio Enterprise con MSDN,</w:t>
      </w:r>
    </w:p>
    <w:p w:rsidR="00A22FCC" w:rsidRPr="00EF1825" w:rsidRDefault="00C31D7A" w:rsidP="0019394B">
      <w:pPr>
        <w:pStyle w:val="Heading2"/>
        <w:widowControl w:val="0"/>
        <w:numPr>
          <w:ilvl w:val="0"/>
          <w:numId w:val="26"/>
        </w:numPr>
      </w:pPr>
      <w:r>
        <w:rPr>
          <w:b w:val="0"/>
          <w:sz w:val="20"/>
          <w:szCs w:val="20"/>
        </w:rPr>
        <w:t>Visual Studio Enterprise - sottoscrizione mensile,</w:t>
      </w:r>
    </w:p>
    <w:p w:rsidR="00A22FCC" w:rsidRPr="00EF1825" w:rsidRDefault="00C31D7A" w:rsidP="0019394B">
      <w:pPr>
        <w:pStyle w:val="Heading2"/>
        <w:widowControl w:val="0"/>
        <w:numPr>
          <w:ilvl w:val="0"/>
          <w:numId w:val="26"/>
        </w:numPr>
      </w:pPr>
      <w:r>
        <w:rPr>
          <w:b w:val="0"/>
          <w:sz w:val="20"/>
          <w:szCs w:val="20"/>
        </w:rPr>
        <w:t>Visual Studio Enterprise - sottoscrizione annuale,</w:t>
      </w:r>
    </w:p>
    <w:p w:rsidR="00A22FCC" w:rsidRPr="00EF1825" w:rsidRDefault="009617CD" w:rsidP="0019394B">
      <w:pPr>
        <w:pStyle w:val="Heading2"/>
        <w:widowControl w:val="0"/>
        <w:numPr>
          <w:ilvl w:val="0"/>
          <w:numId w:val="26"/>
        </w:numPr>
      </w:pPr>
      <w:r>
        <w:rPr>
          <w:b w:val="0"/>
          <w:sz w:val="20"/>
          <w:szCs w:val="20"/>
        </w:rPr>
        <w:t>Piattaforme MSDN</w:t>
      </w:r>
      <w:bookmarkEnd w:id="1"/>
      <w:r>
        <w:rPr>
          <w:b w:val="0"/>
          <w:sz w:val="20"/>
          <w:szCs w:val="20"/>
        </w:rPr>
        <w:t xml:space="preserve"> o</w:t>
      </w:r>
    </w:p>
    <w:p w:rsidR="00753122" w:rsidRPr="00EF1825" w:rsidRDefault="00A22FCC" w:rsidP="004C6708">
      <w:pPr>
        <w:pStyle w:val="Heading2"/>
        <w:numPr>
          <w:ilvl w:val="0"/>
          <w:numId w:val="26"/>
        </w:numPr>
      </w:pPr>
      <w:r>
        <w:rPr>
          <w:b w:val="0"/>
          <w:sz w:val="20"/>
          <w:szCs w:val="20"/>
        </w:rPr>
        <w:t>sottoscrizione dell’estensione Test Manager di Visual Studio Team Services.</w:t>
      </w:r>
    </w:p>
    <w:p w:rsidR="0027754A" w:rsidRPr="00EF1825" w:rsidRDefault="0027754A" w:rsidP="004C6708">
      <w:pPr>
        <w:pStyle w:val="Bullet4"/>
        <w:numPr>
          <w:ilvl w:val="0"/>
          <w:numId w:val="26"/>
        </w:numPr>
        <w:ind w:left="1080"/>
      </w:pPr>
      <w:r>
        <w:rPr>
          <w:sz w:val="20"/>
          <w:szCs w:val="20"/>
        </w:rPr>
        <w:t>Distribuzioni simultanee utilizzando Release Management (1 per server)</w:t>
      </w:r>
    </w:p>
    <w:p w:rsidR="0027754A" w:rsidRPr="00EF1825" w:rsidRDefault="0027754A" w:rsidP="004C6708">
      <w:pPr>
        <w:pStyle w:val="Heading2"/>
        <w:numPr>
          <w:ilvl w:val="0"/>
          <w:numId w:val="0"/>
        </w:numPr>
        <w:ind w:left="1080"/>
      </w:pPr>
      <w:r>
        <w:rPr>
          <w:b w:val="0"/>
          <w:sz w:val="20"/>
          <w:szCs w:val="20"/>
        </w:rPr>
        <w:t>un utente dovrà disporre la licenza per uno dei seguenti prodotti:</w:t>
      </w:r>
    </w:p>
    <w:p w:rsidR="0027754A" w:rsidRPr="00EF1825" w:rsidRDefault="0027754A" w:rsidP="004C6708">
      <w:pPr>
        <w:pStyle w:val="Heading2"/>
        <w:numPr>
          <w:ilvl w:val="0"/>
          <w:numId w:val="26"/>
        </w:numPr>
      </w:pPr>
      <w:r>
        <w:rPr>
          <w:b w:val="0"/>
          <w:sz w:val="20"/>
          <w:szCs w:val="20"/>
        </w:rPr>
        <w:t>Visual Studio Enterprise con MSDN o</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EF1825" w:rsidRDefault="005F7C07" w:rsidP="00057836">
      <w:pPr>
        <w:pStyle w:val="Bullet3"/>
      </w:pPr>
      <w:r>
        <w:rPr>
          <w:sz w:val="20"/>
          <w:szCs w:val="20"/>
        </w:rPr>
        <w:t>raggruppare le connessioni;</w:t>
      </w:r>
    </w:p>
    <w:p w:rsidR="003C2DE9" w:rsidRPr="00EF1825" w:rsidRDefault="005F7C07" w:rsidP="00057836">
      <w:pPr>
        <w:pStyle w:val="Bullet3"/>
      </w:pPr>
      <w:r>
        <w:rPr>
          <w:sz w:val="20"/>
          <w:szCs w:val="20"/>
        </w:rPr>
        <w:t>reinstradare le informazioni;</w:t>
      </w:r>
    </w:p>
    <w:p w:rsidR="003C2DE9" w:rsidRPr="00EF1825" w:rsidRDefault="005F7C07" w:rsidP="00057836">
      <w:pPr>
        <w:pStyle w:val="Bullet3"/>
      </w:pPr>
      <w:r>
        <w:rPr>
          <w:sz w:val="20"/>
          <w:szCs w:val="20"/>
        </w:rPr>
        <w:t>ridurre il numero di dispositivi o utenti che accedono o utilizzano direttamente il software oppure</w:t>
      </w:r>
    </w:p>
    <w:p w:rsidR="00923842" w:rsidRPr="00EF1825" w:rsidRDefault="00923842" w:rsidP="00057836">
      <w:pPr>
        <w:pStyle w:val="Bullet3"/>
      </w:pPr>
      <w:r>
        <w:rPr>
          <w:sz w:val="20"/>
          <w:szCs w:val="20"/>
        </w:rPr>
        <w:t>ridurre il numero di ambienti del sistema operativo, di dispositivi o utenti che il prodotto gestisce direttamente.</w:t>
      </w:r>
    </w:p>
    <w:p w:rsidR="003C2DE9" w:rsidRPr="00EF1825" w:rsidRDefault="005F7C07" w:rsidP="004C6708">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EF1825" w:rsidRDefault="005F7C07" w:rsidP="004C6708">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9D4A4A" w:rsidRDefault="001E4979" w:rsidP="004C6708">
      <w:pPr>
        <w:pStyle w:val="Heading1"/>
        <w:ind w:left="360" w:hanging="360"/>
        <w:rPr>
          <w:sz w:val="20"/>
          <w:szCs w:val="20"/>
        </w:rPr>
      </w:pPr>
      <w:r w:rsidRPr="009D4A4A">
        <w:rPr>
          <w:sz w:val="20"/>
          <w:szCs w:val="20"/>
        </w:rPr>
        <w:t xml:space="preserve">DATI. </w:t>
      </w:r>
      <w:r w:rsidRPr="009D4A4A">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sidRPr="009D4A4A">
        <w:rPr>
          <w:b w:val="0"/>
          <w:sz w:val="20"/>
          <w:szCs w:val="20"/>
        </w:rPr>
        <w:t>Esistono inoltre a</w:t>
      </w:r>
      <w:r w:rsidRPr="009D4A4A">
        <w:rPr>
          <w:b w:val="0"/>
          <w:color w:val="000000"/>
          <w:sz w:val="20"/>
          <w:szCs w:val="20"/>
        </w:rPr>
        <w:t>lcune funzionalità del software che possono abilitare il licenziatario e Microsoft alla raccolta dei dati degli utenti delle applicazioni del licenziatario</w:t>
      </w:r>
      <w:r w:rsidRPr="009D4A4A">
        <w:rPr>
          <w:rFonts w:eastAsia="SimSun"/>
          <w:b w:val="0"/>
          <w:sz w:val="20"/>
          <w:szCs w:val="20"/>
        </w:rPr>
        <w:t xml:space="preserve">. Qualora il licenziatario utilizzi tali funzionalità, dovrà conformarsi alla legge applicabile e fornire comunicazioni appropriate agli utenti di tali applicazioni. Dovrà inoltre fornire una copia dell’informativa sulla privacy di Microsoft ai propri utenti. L’informativa sulla privacy per la Famiglia di Prodotti Visual Studio di Microsoft è disponibile all’indirizzo </w:t>
      </w:r>
      <w:hyperlink r:id="rId12" w:history="1">
        <w:r w:rsidRPr="009D4A4A">
          <w:rPr>
            <w:rStyle w:val="Hyperlink"/>
            <w:rFonts w:cs="Tahoma"/>
            <w:b w:val="0"/>
            <w:sz w:val="20"/>
            <w:szCs w:val="20"/>
          </w:rPr>
          <w:t>https://go.microsoft.com/fwlink/?LinkId=398505</w:t>
        </w:r>
      </w:hyperlink>
      <w:r w:rsidRPr="009D4A4A">
        <w:rPr>
          <w:rFonts w:eastAsia="SimSun"/>
          <w:b w:val="0"/>
          <w:sz w:val="20"/>
          <w:szCs w:val="20"/>
        </w:rPr>
        <w:t>. Informazioni più dettagliate sulla raccolta e il trattamento dei dati sono disponibili nella Guida e nell’informativa sulla privacy</w:t>
      </w:r>
      <w:r w:rsidRPr="009D4A4A">
        <w:rPr>
          <w:b w:val="0"/>
          <w:bCs w:val="0"/>
          <w:sz w:val="20"/>
          <w:szCs w:val="20"/>
        </w:rPr>
        <w:t xml:space="preserve">. </w:t>
      </w:r>
      <w:r w:rsidRPr="009D4A4A">
        <w:rPr>
          <w:rFonts w:eastAsia="SimSun"/>
          <w:b w:val="0"/>
          <w:sz w:val="20"/>
          <w:szCs w:val="20"/>
        </w:rPr>
        <w:t>L’utilizzo del software da parte del licenziatario funge da consenso a tali procedure.</w:t>
      </w:r>
    </w:p>
    <w:p w:rsidR="00BC387F" w:rsidRPr="00EF1825" w:rsidRDefault="00BC387F" w:rsidP="00057836">
      <w:pPr>
        <w:pStyle w:val="Heading1"/>
      </w:pPr>
      <w:bookmarkStart w:id="2" w:name="_Ref324605389"/>
      <w:r>
        <w:rPr>
          <w:sz w:val="20"/>
          <w:szCs w:val="20"/>
        </w:rPr>
        <w:t>PRODOTTI AGGIUNTIVI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2016 Standard Edition, l’utilizzo da parte del licenziatario di tale Edizione Standard di SQL Server è soggetto alle relative condizioni di licenza unitamente alle presenti condizioni per l’utilizzo modificate e riportate di seguito:</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Il licenziatario potrà eseguire in qualunque momento un’istanza di SQL Server 2016 Standard Edition in un server per supportare il software in un ambiente fisico o virtuale del sistema operativo. Il licenziatario non dovrà disporre di CAL per SQL Server ai fini di tale uso. Il licenziatario potrà creare e memorizzare un numero qualsiasi di istanze di SQL Server 2016 Edition su qualsiasi server o supporto di memorizzazione, al solo scopo di esercitare il diritto di esecuzione di un’istanza di SQL Server 2016 Edition, secondo le modalità indicate nel presente documento.</w:t>
      </w:r>
    </w:p>
    <w:p w:rsidR="00606AF2" w:rsidRPr="00EF1825" w:rsidRDefault="00AA3347" w:rsidP="00553D0E">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così come descritto nella</w:t>
      </w:r>
      <w:r>
        <w:rPr>
          <w:b w:val="0"/>
          <w:color w:val="002060"/>
          <w:sz w:val="20"/>
          <w:szCs w:val="20"/>
        </w:rPr>
        <w:t xml:space="preserve"> </w:t>
      </w:r>
      <w:r>
        <w:rPr>
          <w:b w:val="0"/>
          <w:sz w:val="20"/>
          <w:szCs w:val="20"/>
        </w:rPr>
        <w:t>cartella “Licenze” Microsoft del software, fatta eccezione per il fatto che, nel caso in cui le condizioni di licenza per quei componenti siano incluse anche direttamente nell’installazione associata, tali condizioni di licenza avranno prevalenza.</w:t>
      </w:r>
    </w:p>
    <w:p w:rsidR="003C2DE9" w:rsidRPr="00EF1825" w:rsidRDefault="005F7C07" w:rsidP="009C1CC1">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EF1825" w:rsidRDefault="005F7C07" w:rsidP="009C1CC1">
      <w:pPr>
        <w:pStyle w:val="Bullet2"/>
      </w:pPr>
      <w:r>
        <w:rPr>
          <w:sz w:val="20"/>
          <w:szCs w:val="20"/>
        </w:rPr>
        <w:t>aggirare le limitazioni tecniche presenti nel software;</w:t>
      </w:r>
    </w:p>
    <w:p w:rsidR="003C2DE9" w:rsidRPr="00EF1825" w:rsidRDefault="005476D7" w:rsidP="005476D7">
      <w:pPr>
        <w:pStyle w:val="Bullet2"/>
      </w:pPr>
      <w:r>
        <w:rPr>
          <w:sz w:val="20"/>
          <w:szCs w:val="20"/>
        </w:rPr>
        <w:t>decompilare o disassemblare il software, né in altro modo tentare di derivare il codice sorgente per il software, fatta eccezione e solo nella misura richiesta dalle condizioni di licenza di terzi che disciplinano l’utilizzo di alcuni componenti open source che potrebbero essere inclusi nel software;</w:t>
      </w:r>
    </w:p>
    <w:p w:rsidR="00E36D36" w:rsidRPr="00EF1825" w:rsidRDefault="00E36D36" w:rsidP="009C1CC1">
      <w:pPr>
        <w:pStyle w:val="Bullet2"/>
      </w:pPr>
      <w:r>
        <w:rPr>
          <w:rFonts w:eastAsia="SimSun"/>
          <w:sz w:val="20"/>
          <w:szCs w:val="20"/>
        </w:rPr>
        <w:t>rimuovere, ridurre al minimo, bloccare o modificare alcuna comunicazione di Microsoft o dei suoi fornitori relativamente al software;</w:t>
      </w:r>
    </w:p>
    <w:p w:rsidR="005476D7" w:rsidRPr="00EF1825" w:rsidRDefault="005476D7" w:rsidP="009C1CC1">
      <w:pPr>
        <w:pStyle w:val="Bullet2"/>
      </w:pPr>
      <w:r>
        <w:rPr>
          <w:sz w:val="20"/>
          <w:szCs w:val="20"/>
        </w:rPr>
        <w:t>utilizzare il software in contrasto con la legge né</w:t>
      </w:r>
    </w:p>
    <w:p w:rsidR="003C2DE9" w:rsidRPr="00EF1825" w:rsidRDefault="008C2558" w:rsidP="006468E6">
      <w:pPr>
        <w:pStyle w:val="Bullet2"/>
      </w:pPr>
      <w:r>
        <w:rPr>
          <w:sz w:val="20"/>
          <w:szCs w:val="20"/>
        </w:rPr>
        <w:t>condividere, pubblicare, noleggiare o concedere in prestito il software né fornire e consentire ad altri di utilizzare il software come soluzione ospitata autonoma o trasferire il software o il presente contratto a terzi.</w:t>
      </w:r>
    </w:p>
    <w:p w:rsidR="00A15FE9" w:rsidRPr="00EF1825" w:rsidRDefault="00A15FE9" w:rsidP="00A15FE9">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EF1825" w:rsidRDefault="005F7C07" w:rsidP="009C1CC1">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EF1825" w:rsidRDefault="005F7C07" w:rsidP="009C1CC1">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EF1825" w:rsidRDefault="00D27198" w:rsidP="00D27198">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D27198" w:rsidRPr="00EF1825" w:rsidRDefault="00AA5563" w:rsidP="00D27198">
      <w:pPr>
        <w:pStyle w:val="Heading1"/>
        <w:widowControl w:val="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a una versione in lingua diversa autorizzata o a un’edizione precedente, in luogo della versione con licenza.</w:t>
      </w:r>
    </w:p>
    <w:p w:rsidR="00A31C77" w:rsidRPr="00EF1825" w:rsidRDefault="00A31C77" w:rsidP="00404F3D">
      <w:pPr>
        <w:pStyle w:val="Heading1Unbold"/>
        <w:spacing w:before="120" w:after="120"/>
        <w:ind w:left="360" w:hanging="360"/>
      </w:pPr>
      <w:r>
        <w:rPr>
          <w:b/>
          <w:bCs/>
          <w:sz w:val="20"/>
          <w:szCs w:val="20"/>
        </w:rPr>
        <w:t xml:space="preserve">TRASFERIMENTO A TERZI. </w:t>
      </w:r>
      <w:r>
        <w:rPr>
          <w:rFonts w:eastAsia="SimSun"/>
          <w:sz w:val="20"/>
          <w:szCs w:val="20"/>
        </w:rPr>
        <w:t>Qualora il licenziatario sia in possesso di una licenza valida del software, potrà trasferire il software e il presente contratto di licenza direttamente a un’altra parte. Prima del trasferimento, il terzo dovrà accettare che il presente contratto si applichi al trasferimento e all’utilizzo del software. Il trasferimento dovrà includere il software e, a seconda dei casi, l’etichetta della Prova della Licenza. Il cedente dovrà disinstallare tutte le copie del software dopo che lo avrà trasferito dal dispositivo. Il cedente potrà conservare copie del software solo qualora sia stato autorizzato in tal senso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RESTRIZIONI ALL’ESPORTAZIONE. </w:t>
      </w:r>
      <w:r>
        <w:rPr>
          <w:bCs/>
          <w:sz w:val="20"/>
          <w:szCs w:val="20"/>
        </w:rPr>
        <w:t>Il licenziatario dovrà conformarsi a tutte le leggi e a tutti i regolamenti nazionali</w:t>
      </w:r>
      <w:r>
        <w:rPr>
          <w:rFonts w:eastAsia="SimSun"/>
          <w:sz w:val="20"/>
          <w:szCs w:val="20"/>
        </w:rPr>
        <w:t xml:space="preserve"> e internazionali in materia di esportazione applicabili al software, che includono limitazioni su destinazioni, utenti finali e utilizzo finale.</w:t>
      </w:r>
    </w:p>
    <w:p w:rsidR="002061BD" w:rsidRPr="00EF1825" w:rsidRDefault="005F7C07" w:rsidP="00736BD0">
      <w:pPr>
        <w:pStyle w:val="Heading1Unbold"/>
      </w:pPr>
      <w:r>
        <w:rPr>
          <w:b/>
          <w:bCs/>
          <w:sz w:val="20"/>
          <w:szCs w:val="20"/>
        </w:rPr>
        <w:t xml:space="preserve">INTERO ACCORDO. </w:t>
      </w:r>
      <w:r>
        <w:rPr>
          <w:rFonts w:eastAsia="SimSun"/>
          <w:sz w:val="20"/>
          <w:szCs w:val="20"/>
        </w:rPr>
        <w:t>Il presente contratto e le condizioni che disciplinano i supplementi, gli aggiornamenti e i servizi basati su Internet utilizzati dal licenziatario costituiscono l’intero accordo relativo al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ulteriori altri diritti che le leggi del Paese o dello Stato di residenza del licenziatario non consentono di modificare.</w:t>
      </w:r>
    </w:p>
    <w:p w:rsidR="000F756B" w:rsidRPr="00EF1825" w:rsidRDefault="000F756B" w:rsidP="000F756B">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F756B" w:rsidRPr="00EF1825" w:rsidRDefault="000F756B" w:rsidP="000F756B">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756B" w:rsidRPr="00EF1825" w:rsidRDefault="000F756B" w:rsidP="00572C3F">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E7B" w:rsidRDefault="00B37E7B" w:rsidP="003C2DE9">
      <w:pPr>
        <w:spacing w:before="0" w:after="0"/>
      </w:pPr>
      <w:r>
        <w:separator/>
      </w:r>
    </w:p>
  </w:endnote>
  <w:endnote w:type="continuationSeparator" w:id="0">
    <w:p w:rsidR="00B37E7B" w:rsidRDefault="00B37E7B" w:rsidP="003C2DE9">
      <w:pPr>
        <w:spacing w:before="0" w:after="0"/>
      </w:pPr>
      <w:r>
        <w:continuationSeparator/>
      </w:r>
    </w:p>
  </w:endnote>
  <w:endnote w:type="continuationNotice" w:id="1">
    <w:p w:rsidR="00B37E7B" w:rsidRDefault="00B37E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E7B" w:rsidRDefault="00B37E7B" w:rsidP="003C2DE9">
      <w:pPr>
        <w:spacing w:before="0" w:after="0"/>
      </w:pPr>
      <w:r>
        <w:separator/>
      </w:r>
    </w:p>
  </w:footnote>
  <w:footnote w:type="continuationSeparator" w:id="0">
    <w:p w:rsidR="00B37E7B" w:rsidRDefault="00B37E7B" w:rsidP="003C2DE9">
      <w:pPr>
        <w:spacing w:before="0" w:after="0"/>
      </w:pPr>
      <w:r>
        <w:continuationSeparator/>
      </w:r>
    </w:p>
  </w:footnote>
  <w:footnote w:type="continuationNotice" w:id="1">
    <w:p w:rsidR="00B37E7B" w:rsidRDefault="00B37E7B">
      <w:pPr>
        <w:spacing w:before="0" w:after="0"/>
      </w:pPr>
    </w:p>
  </w:footnote>
  <w:footnote w:id="2">
    <w:p w:rsidR="006E1F99" w:rsidRPr="006E1F99" w:rsidRDefault="006E1F99" w:rsidP="006E1F99">
      <w:pPr>
        <w:pStyle w:val="Footnote"/>
        <w:rPr>
          <w:b w:val="0"/>
          <w:bCs w:val="0"/>
          <w:lang w:val="en-US" w:eastAsia="en-US" w:bidi="ar-SA"/>
        </w:rPr>
      </w:pPr>
      <w:r>
        <w:rPr>
          <w:rStyle w:val="FootnoteReference"/>
        </w:rPr>
        <w:footnoteRef/>
      </w:r>
      <w:r>
        <w:t xml:space="preserve"> </w:t>
      </w:r>
      <w:r w:rsidRPr="006E1F99">
        <w:rPr>
          <w:bCs w:val="0"/>
          <w:lang w:val="en-US" w:eastAsia="en-US" w:bidi="ar-SA"/>
        </w:rPr>
        <w:t>LICENZIANTE</w:t>
      </w:r>
      <w:r w:rsidRPr="00C57A11">
        <w:rPr>
          <w:lang w:val="en-US" w:eastAsia="en-US" w:bidi="ar-SA"/>
        </w:rPr>
        <w:t>:</w:t>
      </w:r>
      <w:r w:rsidRPr="006E1F99">
        <w:rPr>
          <w:b w:val="0"/>
          <w:bCs w:val="0"/>
          <w:lang w:val="en-US"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3">
    <w:p w:rsidR="000B6190" w:rsidRPr="000B6190" w:rsidRDefault="000B6190" w:rsidP="000B6190">
      <w:pPr>
        <w:pStyle w:val="Footnote"/>
        <w:rPr>
          <w:lang w:val="en-US"/>
        </w:rPr>
      </w:pPr>
      <w:r>
        <w:rPr>
          <w:rStyle w:val="FootnoteReference"/>
        </w:rPr>
        <w:footnoteRef/>
      </w:r>
      <w:r>
        <w:t xml:space="preserve"> </w:t>
      </w:r>
      <w:r w:rsidRPr="000B6190">
        <w:rPr>
          <w:lang w:val="en-US" w:eastAsia="en-US" w:bidi="ar-SA"/>
        </w:rPr>
        <w:t>LICENZIANTE</w:t>
      </w:r>
      <w:r w:rsidRPr="000B6190">
        <w:t xml:space="preserve">: </w:t>
      </w:r>
      <w:r w:rsidRPr="000B6190">
        <w:rPr>
          <w:b w:val="0"/>
          <w:lang w:val="en-US" w:eastAsia="en-US" w:bidi="ar-SA"/>
        </w:rPr>
        <w:t>specificare il numero complessivo di licenze server concesse all’utente finale ai sensi del presente contratto.</w:t>
      </w:r>
    </w:p>
  </w:footnote>
  <w:footnote w:id="4">
    <w:p w:rsidR="00ED1F19" w:rsidRPr="00ED1F19" w:rsidRDefault="00ED1F19" w:rsidP="00ED1F19">
      <w:pPr>
        <w:pStyle w:val="Footnote"/>
        <w:rPr>
          <w:lang w:val="en-US"/>
        </w:rPr>
      </w:pPr>
      <w:r>
        <w:rPr>
          <w:rStyle w:val="FootnoteReference"/>
        </w:rPr>
        <w:footnoteRef/>
      </w:r>
      <w:r>
        <w:t xml:space="preserve"> </w:t>
      </w:r>
      <w:r w:rsidRPr="00ED1F19">
        <w:rPr>
          <w:lang w:val="en-US" w:eastAsia="en-US" w:bidi="ar-SA"/>
        </w:rPr>
        <w:t>LICENZIANTE</w:t>
      </w:r>
      <w:r w:rsidRPr="00ED1F19">
        <w:t>:</w:t>
      </w:r>
      <w:r w:rsidRPr="00ED1F19">
        <w:rPr>
          <w:b w:val="0"/>
          <w:lang w:val="en-US" w:eastAsia="en-US" w:bidi="ar-SA"/>
        </w:rPr>
        <w:t xml:space="preserve"> specificare il numero complessivo di User CAL che possono accedere direttamente o indirettamente alle istanze del software server concesso in licenza ai sensi del presente contratto.</w:t>
      </w:r>
    </w:p>
  </w:footnote>
  <w:footnote w:id="5">
    <w:p w:rsidR="006D0CF2" w:rsidRPr="00972B68" w:rsidRDefault="006D0CF2" w:rsidP="006D0CF2">
      <w:pPr>
        <w:pStyle w:val="Footnote"/>
        <w:rPr>
          <w:lang w:val="es-ES"/>
        </w:rPr>
      </w:pPr>
      <w:r>
        <w:rPr>
          <w:rStyle w:val="FootnoteReference"/>
        </w:rPr>
        <w:footnoteRef/>
      </w:r>
      <w:r>
        <w:t xml:space="preserve"> </w:t>
      </w:r>
      <w:r w:rsidRPr="00972B68">
        <w:rPr>
          <w:lang w:val="es-ES" w:eastAsia="en-US" w:bidi="ar-SA"/>
        </w:rPr>
        <w:t>LICENZIANTE</w:t>
      </w:r>
      <w:r w:rsidRPr="006D0CF2">
        <w:t xml:space="preserve">: </w:t>
      </w:r>
      <w:r w:rsidRPr="00972B68">
        <w:rPr>
          <w:b w:val="0"/>
          <w:lang w:val="es-ES" w:eastAsia="en-US" w:bidi="ar-SA"/>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8360384"/>
    <w:lvl w:ilvl="0" w:tplc="2B9C44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0DCED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0981726">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61A20DF2"/>
    <w:lvl w:ilvl="0" w:tplc="6E20265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30BAC51A"/>
    <w:lvl w:ilvl="0" w:tplc="050E51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B3D0ACD2"/>
    <w:lvl w:ilvl="0" w:tplc="73146758">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7DvvCk1jmj0Pg61HbTDiq1Qz3E55CtXcHLM+Q8iGUMA1IyhQTrlhHSm5JgfaZyHPQi16B7u1BO481scQ+Fv2w==" w:salt="nUtY96hNTUVuzaW1ETV8M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59AD"/>
    <w:rsid w:val="00096085"/>
    <w:rsid w:val="000A0D15"/>
    <w:rsid w:val="000A3C71"/>
    <w:rsid w:val="000A5BE8"/>
    <w:rsid w:val="000A7FB7"/>
    <w:rsid w:val="000B6190"/>
    <w:rsid w:val="000C1754"/>
    <w:rsid w:val="000C4515"/>
    <w:rsid w:val="000C4BD7"/>
    <w:rsid w:val="000C6021"/>
    <w:rsid w:val="000D3B46"/>
    <w:rsid w:val="000D6803"/>
    <w:rsid w:val="000E09C8"/>
    <w:rsid w:val="000E2C1B"/>
    <w:rsid w:val="000E4EF8"/>
    <w:rsid w:val="000E4FD4"/>
    <w:rsid w:val="000F10B0"/>
    <w:rsid w:val="000F2756"/>
    <w:rsid w:val="000F458C"/>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38F2"/>
    <w:rsid w:val="00174B47"/>
    <w:rsid w:val="001757F3"/>
    <w:rsid w:val="00177957"/>
    <w:rsid w:val="0018202B"/>
    <w:rsid w:val="00183301"/>
    <w:rsid w:val="00183FF4"/>
    <w:rsid w:val="001845B3"/>
    <w:rsid w:val="00190DEE"/>
    <w:rsid w:val="0019394B"/>
    <w:rsid w:val="001B04F1"/>
    <w:rsid w:val="001B06C6"/>
    <w:rsid w:val="001B2376"/>
    <w:rsid w:val="001C1619"/>
    <w:rsid w:val="001C1F5A"/>
    <w:rsid w:val="001C2DA6"/>
    <w:rsid w:val="001C2DE4"/>
    <w:rsid w:val="001C55D2"/>
    <w:rsid w:val="001C64CF"/>
    <w:rsid w:val="001D1F24"/>
    <w:rsid w:val="001D4884"/>
    <w:rsid w:val="001E0F91"/>
    <w:rsid w:val="001E194C"/>
    <w:rsid w:val="001E2A51"/>
    <w:rsid w:val="001E4979"/>
    <w:rsid w:val="001E5526"/>
    <w:rsid w:val="001E6CC7"/>
    <w:rsid w:val="001E742A"/>
    <w:rsid w:val="001E74D0"/>
    <w:rsid w:val="001E76A9"/>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21F"/>
    <w:rsid w:val="00233DB3"/>
    <w:rsid w:val="00234402"/>
    <w:rsid w:val="002350CE"/>
    <w:rsid w:val="00241508"/>
    <w:rsid w:val="00243EBF"/>
    <w:rsid w:val="00244BC2"/>
    <w:rsid w:val="00244C9C"/>
    <w:rsid w:val="00247445"/>
    <w:rsid w:val="00250CCC"/>
    <w:rsid w:val="00252EA3"/>
    <w:rsid w:val="00253F61"/>
    <w:rsid w:val="002553DA"/>
    <w:rsid w:val="00255C30"/>
    <w:rsid w:val="00260D00"/>
    <w:rsid w:val="002619C9"/>
    <w:rsid w:val="00263C78"/>
    <w:rsid w:val="002656BA"/>
    <w:rsid w:val="00266528"/>
    <w:rsid w:val="00266D25"/>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0E26"/>
    <w:rsid w:val="002B3905"/>
    <w:rsid w:val="002B6B45"/>
    <w:rsid w:val="002C4508"/>
    <w:rsid w:val="002C4FAD"/>
    <w:rsid w:val="002C5491"/>
    <w:rsid w:val="002C75CC"/>
    <w:rsid w:val="002C7DB9"/>
    <w:rsid w:val="002D059D"/>
    <w:rsid w:val="002D0BF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94841"/>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921"/>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6CE"/>
    <w:rsid w:val="00622DA8"/>
    <w:rsid w:val="006242AF"/>
    <w:rsid w:val="00624EB8"/>
    <w:rsid w:val="00625364"/>
    <w:rsid w:val="0063282F"/>
    <w:rsid w:val="006336BA"/>
    <w:rsid w:val="00643088"/>
    <w:rsid w:val="00643D28"/>
    <w:rsid w:val="006444A3"/>
    <w:rsid w:val="00645F52"/>
    <w:rsid w:val="006468E6"/>
    <w:rsid w:val="00654356"/>
    <w:rsid w:val="006605BE"/>
    <w:rsid w:val="006630B9"/>
    <w:rsid w:val="00663CE7"/>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0CF2"/>
    <w:rsid w:val="006D42DF"/>
    <w:rsid w:val="006D5C52"/>
    <w:rsid w:val="006D7518"/>
    <w:rsid w:val="006E1F99"/>
    <w:rsid w:val="006E26BF"/>
    <w:rsid w:val="006E4CC1"/>
    <w:rsid w:val="006F43CD"/>
    <w:rsid w:val="006F698D"/>
    <w:rsid w:val="006F7E7B"/>
    <w:rsid w:val="0070077E"/>
    <w:rsid w:val="007007E8"/>
    <w:rsid w:val="00700893"/>
    <w:rsid w:val="00705F9B"/>
    <w:rsid w:val="007074F7"/>
    <w:rsid w:val="00713192"/>
    <w:rsid w:val="00713326"/>
    <w:rsid w:val="007150C5"/>
    <w:rsid w:val="00715142"/>
    <w:rsid w:val="007166AB"/>
    <w:rsid w:val="00717037"/>
    <w:rsid w:val="0071708E"/>
    <w:rsid w:val="00721BA6"/>
    <w:rsid w:val="00721E2F"/>
    <w:rsid w:val="007221C6"/>
    <w:rsid w:val="00722C0C"/>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6CA"/>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1E7D"/>
    <w:rsid w:val="007D2590"/>
    <w:rsid w:val="007D3D13"/>
    <w:rsid w:val="007D432C"/>
    <w:rsid w:val="007E1B9B"/>
    <w:rsid w:val="007E2960"/>
    <w:rsid w:val="007E2ECA"/>
    <w:rsid w:val="007E336A"/>
    <w:rsid w:val="007E38C1"/>
    <w:rsid w:val="007E5B2E"/>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2AA3"/>
    <w:rsid w:val="0086179D"/>
    <w:rsid w:val="00864C5D"/>
    <w:rsid w:val="008662EC"/>
    <w:rsid w:val="0087214B"/>
    <w:rsid w:val="008821C9"/>
    <w:rsid w:val="00882425"/>
    <w:rsid w:val="00882C88"/>
    <w:rsid w:val="008839AB"/>
    <w:rsid w:val="0088631F"/>
    <w:rsid w:val="0088665E"/>
    <w:rsid w:val="008874DA"/>
    <w:rsid w:val="00887882"/>
    <w:rsid w:val="008956F3"/>
    <w:rsid w:val="0089702D"/>
    <w:rsid w:val="008A2BC4"/>
    <w:rsid w:val="008A51C4"/>
    <w:rsid w:val="008A5518"/>
    <w:rsid w:val="008A5629"/>
    <w:rsid w:val="008A5EF9"/>
    <w:rsid w:val="008B3485"/>
    <w:rsid w:val="008B5B04"/>
    <w:rsid w:val="008B728C"/>
    <w:rsid w:val="008C2558"/>
    <w:rsid w:val="008C2C90"/>
    <w:rsid w:val="008C730E"/>
    <w:rsid w:val="008D3F94"/>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68"/>
    <w:rsid w:val="00972B8A"/>
    <w:rsid w:val="00976B0E"/>
    <w:rsid w:val="00987E65"/>
    <w:rsid w:val="00991C00"/>
    <w:rsid w:val="00995441"/>
    <w:rsid w:val="0099772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D4A4A"/>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403"/>
    <w:rsid w:val="00A22B69"/>
    <w:rsid w:val="00A22FCC"/>
    <w:rsid w:val="00A26572"/>
    <w:rsid w:val="00A30265"/>
    <w:rsid w:val="00A30398"/>
    <w:rsid w:val="00A311DE"/>
    <w:rsid w:val="00A31924"/>
    <w:rsid w:val="00A31C77"/>
    <w:rsid w:val="00A328E8"/>
    <w:rsid w:val="00A3291C"/>
    <w:rsid w:val="00A33EDD"/>
    <w:rsid w:val="00A41E3B"/>
    <w:rsid w:val="00A4579B"/>
    <w:rsid w:val="00A47027"/>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B36"/>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07E"/>
    <w:rsid w:val="00B10A3E"/>
    <w:rsid w:val="00B16D53"/>
    <w:rsid w:val="00B21C8C"/>
    <w:rsid w:val="00B242FA"/>
    <w:rsid w:val="00B25849"/>
    <w:rsid w:val="00B25FCB"/>
    <w:rsid w:val="00B26AB9"/>
    <w:rsid w:val="00B26B52"/>
    <w:rsid w:val="00B274EB"/>
    <w:rsid w:val="00B30B9F"/>
    <w:rsid w:val="00B3737F"/>
    <w:rsid w:val="00B37E7B"/>
    <w:rsid w:val="00B46755"/>
    <w:rsid w:val="00B5142D"/>
    <w:rsid w:val="00B51B5D"/>
    <w:rsid w:val="00B51BE7"/>
    <w:rsid w:val="00B525A2"/>
    <w:rsid w:val="00B56617"/>
    <w:rsid w:val="00B57544"/>
    <w:rsid w:val="00B62754"/>
    <w:rsid w:val="00B65679"/>
    <w:rsid w:val="00B67FDB"/>
    <w:rsid w:val="00B737DD"/>
    <w:rsid w:val="00B745F1"/>
    <w:rsid w:val="00B7523C"/>
    <w:rsid w:val="00B776DC"/>
    <w:rsid w:val="00B80B21"/>
    <w:rsid w:val="00B84954"/>
    <w:rsid w:val="00B92153"/>
    <w:rsid w:val="00B92265"/>
    <w:rsid w:val="00B92422"/>
    <w:rsid w:val="00B932EA"/>
    <w:rsid w:val="00B95F3B"/>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1500"/>
    <w:rsid w:val="00C12D8F"/>
    <w:rsid w:val="00C22C1F"/>
    <w:rsid w:val="00C25564"/>
    <w:rsid w:val="00C27609"/>
    <w:rsid w:val="00C316E5"/>
    <w:rsid w:val="00C31D7A"/>
    <w:rsid w:val="00C328E7"/>
    <w:rsid w:val="00C333D5"/>
    <w:rsid w:val="00C432C4"/>
    <w:rsid w:val="00C43C36"/>
    <w:rsid w:val="00C44AFE"/>
    <w:rsid w:val="00C44EDD"/>
    <w:rsid w:val="00C47794"/>
    <w:rsid w:val="00C47D1D"/>
    <w:rsid w:val="00C51643"/>
    <w:rsid w:val="00C57A04"/>
    <w:rsid w:val="00C57A11"/>
    <w:rsid w:val="00C6045C"/>
    <w:rsid w:val="00C65A98"/>
    <w:rsid w:val="00C7225D"/>
    <w:rsid w:val="00C750F4"/>
    <w:rsid w:val="00C75743"/>
    <w:rsid w:val="00C77A3A"/>
    <w:rsid w:val="00C8152F"/>
    <w:rsid w:val="00C81831"/>
    <w:rsid w:val="00C81C86"/>
    <w:rsid w:val="00C86DCE"/>
    <w:rsid w:val="00C95757"/>
    <w:rsid w:val="00C96950"/>
    <w:rsid w:val="00C96E8A"/>
    <w:rsid w:val="00C9768D"/>
    <w:rsid w:val="00CA08E2"/>
    <w:rsid w:val="00CA58E1"/>
    <w:rsid w:val="00CB02BC"/>
    <w:rsid w:val="00CB0518"/>
    <w:rsid w:val="00CB0AA7"/>
    <w:rsid w:val="00CC0F17"/>
    <w:rsid w:val="00CC13A2"/>
    <w:rsid w:val="00CC2E2B"/>
    <w:rsid w:val="00CC3586"/>
    <w:rsid w:val="00CC4B27"/>
    <w:rsid w:val="00CC50E7"/>
    <w:rsid w:val="00CD2469"/>
    <w:rsid w:val="00CD3CF0"/>
    <w:rsid w:val="00CE2FE1"/>
    <w:rsid w:val="00CE4300"/>
    <w:rsid w:val="00CE4E86"/>
    <w:rsid w:val="00CE6053"/>
    <w:rsid w:val="00CF1365"/>
    <w:rsid w:val="00CF1B21"/>
    <w:rsid w:val="00CF2751"/>
    <w:rsid w:val="00CF4D95"/>
    <w:rsid w:val="00CF737A"/>
    <w:rsid w:val="00CF73DE"/>
    <w:rsid w:val="00D02CFE"/>
    <w:rsid w:val="00D03EF4"/>
    <w:rsid w:val="00D06D41"/>
    <w:rsid w:val="00D10547"/>
    <w:rsid w:val="00D10BA9"/>
    <w:rsid w:val="00D10C7D"/>
    <w:rsid w:val="00D158EC"/>
    <w:rsid w:val="00D16882"/>
    <w:rsid w:val="00D16F60"/>
    <w:rsid w:val="00D17BD3"/>
    <w:rsid w:val="00D200A9"/>
    <w:rsid w:val="00D217AE"/>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6D8"/>
    <w:rsid w:val="00E078FC"/>
    <w:rsid w:val="00E1082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44F"/>
    <w:rsid w:val="00E87C51"/>
    <w:rsid w:val="00E941D0"/>
    <w:rsid w:val="00E94C79"/>
    <w:rsid w:val="00E97816"/>
    <w:rsid w:val="00E97C2E"/>
    <w:rsid w:val="00EB57F3"/>
    <w:rsid w:val="00EB71BC"/>
    <w:rsid w:val="00EC1BE3"/>
    <w:rsid w:val="00EC3FD2"/>
    <w:rsid w:val="00ED016B"/>
    <w:rsid w:val="00ED1846"/>
    <w:rsid w:val="00ED1F19"/>
    <w:rsid w:val="00ED5F04"/>
    <w:rsid w:val="00ED73D1"/>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106F"/>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634FFC8-FC85-4B61-81FD-BB7952B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53B3E-0417-42B4-965A-B2AB79088E6F}"/>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F55E2044-8669-4733-B2FC-5C5B3D15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3222</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81</cp:revision>
  <cp:lastPrinted>2016-11-18T07:20:00Z</cp:lastPrinted>
  <dcterms:created xsi:type="dcterms:W3CDTF">2016-11-11T08:30:00Z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